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1" w:name="_Hlk136210608"/>
            <w:r w:rsidRPr="009D5328">
              <w:rPr>
                <w:rFonts w:ascii="標楷體" w:eastAsia="標楷體" w:hAnsi="標楷體" w:cs="Times New Roman" w:hint="eastAsia"/>
              </w:rPr>
              <w:t>校外計畫進化班</w:t>
            </w:r>
          </w:p>
          <w:bookmarkEnd w:id="1"/>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2" w:name="_Hlk136210529"/>
            <w:r w:rsidRPr="009D5328">
              <w:rPr>
                <w:rFonts w:ascii="標楷體" w:eastAsia="標楷體" w:hAnsi="標楷體" w:cs="Times New Roman" w:hint="eastAsia"/>
              </w:rPr>
              <w:t>校外教學智囊團</w:t>
            </w:r>
            <w:bookmarkEnd w:id="2"/>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3" w:name="_Hlk136210631"/>
            <w:r w:rsidRPr="009D5328">
              <w:rPr>
                <w:rFonts w:ascii="標楷體" w:eastAsia="標楷體" w:hAnsi="標楷體" w:cs="Times New Roman" w:hint="eastAsia"/>
              </w:rPr>
              <w:t>畫出領導力：校外教學影像創作大挑戰</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4" w:name="_Hlk136210551"/>
            <w:r w:rsidRPr="009D5328">
              <w:rPr>
                <w:rFonts w:ascii="標楷體" w:eastAsia="標楷體" w:hAnsi="標楷體" w:cs="Times New Roman" w:hint="eastAsia"/>
              </w:rPr>
              <w:t>校外教學探險家</w:t>
            </w:r>
          </w:p>
          <w:bookmarkEnd w:id="4"/>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5" w:name="_Hlk136210678"/>
            <w:r w:rsidRPr="009D5328">
              <w:rPr>
                <w:rFonts w:ascii="標楷體" w:eastAsia="標楷體" w:hAnsi="標楷體" w:cs="Times New Roman" w:hint="eastAsia"/>
              </w:rPr>
              <w:t>話說天下：超級演說家大賽</w:t>
            </w:r>
            <w:bookmarkEnd w:id="5"/>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lastRenderedPageBreak/>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bookmarkStart w:id="6" w:name="_GoBack"/>
      <w:bookmarkEnd w:id="6"/>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0E" w:rsidRDefault="00CC340E" w:rsidP="00886DD8">
      <w:r>
        <w:separator/>
      </w:r>
    </w:p>
  </w:endnote>
  <w:endnote w:type="continuationSeparator" w:id="0">
    <w:p w:rsidR="00CC340E" w:rsidRDefault="00CC340E"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0E" w:rsidRDefault="00CC340E" w:rsidP="00886DD8">
      <w:r>
        <w:separator/>
      </w:r>
    </w:p>
  </w:footnote>
  <w:footnote w:type="continuationSeparator" w:id="0">
    <w:p w:rsidR="00CC340E" w:rsidRDefault="00CC340E" w:rsidP="00886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F6CB9"/>
    <w:rsid w:val="0091622C"/>
    <w:rsid w:val="00952AA2"/>
    <w:rsid w:val="00985434"/>
    <w:rsid w:val="009D5328"/>
    <w:rsid w:val="00A1329E"/>
    <w:rsid w:val="00B166E6"/>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9</cp:revision>
  <cp:lastPrinted>2023-05-30T02:50:00Z</cp:lastPrinted>
  <dcterms:created xsi:type="dcterms:W3CDTF">2023-05-29T07:15:00Z</dcterms:created>
  <dcterms:modified xsi:type="dcterms:W3CDTF">2023-06-17T03:27:00Z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